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14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146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Brennan Aoife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CLIMB BIO,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WILLIAM STREET, SUITE 145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Climb 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CLYM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06/27/2026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37"/>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42"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8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364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60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20" w:type="dxa"/>
            <w:vAlign w:val="bottom"/>
            <w:tcBorders>
              <w:top w:val="single" w:sz="8" w:color="2C2C2C"/>
              <w:bottom w:val="single" w:sz="8" w:color="2C2C2C"/>
            </w:tcBorders>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6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520" w:type="dxa"/>
            <w:vAlign w:val="bottom"/>
            <w:vMerge w:val="restart"/>
          </w:tcPr>
          <w:p>
            <w:pPr>
              <w:ind w:left="280"/>
              <w:spacing w:after="0" w:line="148"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0000FF"/>
              </w:rPr>
              <w:t>WELLESLEY</w:t>
            </w: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02481</w:t>
            </w:r>
          </w:p>
        </w:tc>
        <w:tc>
          <w:tcPr>
            <w:tcW w:w="676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0"/>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HILLS</w:t>
            </w:r>
          </w:p>
        </w:tc>
        <w:tc>
          <w:tcPr>
            <w:tcW w:w="92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760" w:type="dxa"/>
            <w:vAlign w:val="bottom"/>
          </w:tcPr>
          <w:p>
            <w:pPr>
              <w:ind w:left="4520"/>
              <w:spacing w:after="0" w:line="142" w:lineRule="exact"/>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35"/>
        </w:trPr>
        <w:tc>
          <w:tcPr>
            <w:tcW w:w="112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6760" w:type="dxa"/>
            <w:vAlign w:val="bottom"/>
          </w:tcPr>
          <w:p>
            <w:pPr>
              <w:ind w:left="4520"/>
              <w:spacing w:after="0" w:line="109"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8"/>
        </w:trPr>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06/27/2026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68,750</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57"/>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01"/>
              <w:spacing w:after="0"/>
              <w:rPr>
                <w:sz w:val="20"/>
                <w:szCs w:val="20"/>
                <w:color w:val="auto"/>
              </w:rPr>
            </w:pPr>
            <w:r>
              <w:rPr>
                <w:rFonts w:ascii="Times New Roman" w:cs="Times New Roman" w:eastAsia="Times New Roman" w:hAnsi="Times New Roman"/>
                <w:sz w:val="17"/>
                <w:szCs w:val="17"/>
                <w:color w:val="0000FF"/>
              </w:rPr>
              <w:t>118,633</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06/29/2026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30,902</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13.17</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87,731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68,750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06/27/2026</w:t>
            </w:r>
          </w:p>
        </w:tc>
        <w:tc>
          <w:tcPr>
            <w:tcW w:w="1140" w:type="dxa"/>
            <w:vAlign w:val="bottom"/>
          </w:tcPr>
          <w:p>
            <w:pPr>
              <w:spacing w:after="0"/>
              <w:rPr>
                <w:sz w:val="11"/>
                <w:szCs w:val="11"/>
                <w:color w:val="auto"/>
              </w:rPr>
            </w:pPr>
          </w:p>
        </w:tc>
        <w:tc>
          <w:tcPr>
            <w:tcW w:w="6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68,750</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137,500</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converted into one share of the Issuer's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 includes an additional 1,751 shares acquired through the Company's Employee Stock Purchase Plan.</w:t>
      </w:r>
    </w:p>
    <w:p>
      <w:pPr>
        <w:spacing w:after="0" w:line="44" w:lineRule="exact"/>
        <w:rPr>
          <w:rFonts w:ascii="Times New Roman" w:cs="Times New Roman" w:eastAsia="Times New Roman" w:hAnsi="Times New Roman"/>
          <w:sz w:val="13"/>
          <w:szCs w:val="13"/>
          <w:color w:val="008000"/>
        </w:rPr>
      </w:pPr>
    </w:p>
    <w:p>
      <w:pPr>
        <w:ind w:left="40" w:right="4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made pursuant to a 10b5-1 trading plan adopted by the Reporting Person on August 30, 2024 to cover tax withholding obligations in connection with the vesting and settlement of the Reporting Person's RSUs.</w:t>
      </w:r>
    </w:p>
    <w:p>
      <w:pPr>
        <w:spacing w:after="0" w:line="16" w:lineRule="exact"/>
        <w:rPr>
          <w:rFonts w:ascii="Times New Roman" w:cs="Times New Roman" w:eastAsia="Times New Roman" w:hAnsi="Times New Roman"/>
          <w:sz w:val="13"/>
          <w:szCs w:val="13"/>
          <w:color w:val="008000"/>
        </w:rPr>
      </w:pPr>
    </w:p>
    <w:p>
      <w:pPr>
        <w:jc w:val="both"/>
        <w:ind w:left="40" w:right="4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within the range of $13.02 to $13.34,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Form 4.</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granted on June 27, 2024 (the "Grant Date") and are scheduled to vest over four years, with 25% of the shares vesting on each of the first four anniversaries of the Grant Date, subject to the Reporting Person's continued service.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Chandra Adams, as</w:t>
            </w:r>
          </w:p>
        </w:tc>
        <w:tc>
          <w:tcPr>
            <w:tcW w:w="6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06/30/2026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4563" TargetMode="External"/><Relationship Id="rId14" Type="http://schemas.openxmlformats.org/officeDocument/2006/relationships/hyperlink" Target="http://www.sec.gov/cgi-bin/browse-edgar?action=getcompany&amp;CIK=00017684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2026-06-30T18:51:28Z</dcterms:created>
  <dcterms:modified xsi:type="dcterms:W3CDTF">2026-06-30T18:51:28Z</dcterms:modified>
</cp:coreProperties>
</file>